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23 203 vom 20. August 2024</w:t>
      </w:r>
    </w:p>
    <w:p>
      <w:r>
        <w:t>VS Kantonsgericht, 2024-08-20, FR</w:t>
      </w:r>
    </w:p>
    <w:p>
      <w:r>
        <w:rPr>
          <w:b/>
        </w:rPr>
        <w:t xml:space="preserve">Quelle: </w:t>
      </w:r>
      <w:r>
        <w:t>https://mcp.opencaselaw.ch/entscheid/vs_gerichte_S1 23 203</w:t>
      </w:r>
    </w:p>
    <w:p>
      <w:r>
        <w:t>FR: VS_GERICHTE S1 23 203 du 20 août 2024</w:t>
      </w:r>
    </w:p>
    <w:p>
      <w:r>
        <w:t>IT: VS_GERICHTE S1 23 203 del 20 agosto 2024</w:t>
      </w:r>
    </w:p>
    <w:p>
      <w:pPr>
        <w:pStyle w:val="Heading2"/>
      </w:pPr>
      <w:r>
        <w:t>Regeste</w:t>
      </w:r>
    </w:p>
    <w:p>
      <w:r>
        <w:t>S1 23 203 ARRÊT DU 20 AOÛT 2024 Tribunal cantonal du Valais Cour des assurances sociales Composition : Candido Prada, président ; Jean-Bernard Fournier et Christophe Joris, juges ; Simon Hausammann, greffier en la cause X _________, recourante contre OFFICE CANTONAL AI DU VALAIS, intimé (art. 17 LPGA ; nouvelle demande, rente d’invalidité)</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30 novembre 2023, le présent recours à l'encontre de la décision du 15 novembre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la nouvelle demande de prestations AI a été déposée en juillet 2022, de sorte que le nouveau droit est applicable.</w:t>
      </w:r>
    </w:p>
    <w:p>
      <w:r>
        <w:rPr>
          <w:b/>
        </w:rPr>
        <w:t>E. 2</w:t>
      </w:r>
    </w:p>
    <w:p>
      <w:r>
        <w:t>Le litige porte le droit de la recourante, dans le cadre d’une nouvelle demande, à une rente d’invalidité.</w:t>
      </w:r>
    </w:p>
    <w:p>
      <w:r>
        <w:t>- 10 -</w:t>
      </w:r>
    </w:p>
    <w:p>
      <w:r>
        <w:rPr>
          <w:b/>
        </w:rPr>
        <w:t>E. 2.1</w:t>
      </w:r>
    </w:p>
    <w:p>
      <w:r>
        <w:t>A teneur de l'article 17 alinéa 1 LPGA,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(art. 17 al. 2 LPGA).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 A teneur de l’article 88a alinéa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cette disposition est notamment de donner au bénéficiaire de la rente une certaine assurance en ce qui concerne le versement régulier de ses prestations. Des modifications temporaires des</w:t>
      </w:r>
    </w:p>
    <w:p>
      <w:r>
        <w:t>- 11 - facteurs qui fondent le droit à la rente ne doivent pas conduire à une adaptation par la voie de la révision ; au regard de la sécurité du droit, une fois entré en force l’octroi d’une rente doit 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(arrêts du Tribunal fédéral 9C_32/2015 du 10 septembre 2015 consid. 4.1 et 9C_1022/2012 précité consid. 3.3.1).</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LAI et 49 RAI ; cf. CIIAI, ch. 1001 ss). Selon l’article 54a al.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(art. 54a al. 3 LAI), en tenant compte, qualitativement et quantitativement, de toutes les ressources et limitations physiques, mentales ou psychiques (art. 49 al. 1bis RAI). Ils sont indépendants dans l’évaluation médicale des cas d’espèce (art. 54a al. 4 LAI). Un rapport au sens de cette disposition (en corrélation avec l'art. 49 al. 1 RAI) a pour fonction d'opérer la synthèse des</w:t>
      </w:r>
    </w:p>
    <w:p>
      <w:r>
        <w:t>- 12 -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t>- 13 -</w:t>
      </w:r>
    </w:p>
    <w:p>
      <w:r>
        <w:rPr>
          <w:b/>
        </w:rPr>
        <w:t>E. 2.3</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t>- 14 -</w:t>
      </w:r>
    </w:p>
    <w:p>
      <w:r>
        <w:rPr>
          <w:b/>
        </w:rPr>
        <w:t>E. 3</w:t>
      </w:r>
    </w:p>
    <w:p>
      <w:r>
        <w:t>Dans le cas d’espèce, il convient d’examiner si, depuis le dernier examen matériel du droit à des prestations, la situation médicale de la recourante s’est aggravée et lui donne le droit à une rente d’invalidité.</w:t>
      </w:r>
    </w:p>
    <w:p>
      <w:r>
        <w:rPr>
          <w:b/>
        </w:rPr>
        <w:t>E. 3.1</w:t>
      </w:r>
    </w:p>
    <w:p>
      <w:r>
        <w:t>Lorsque la rente d’invalidité a été supprimée par décision du 10 octobre 2019, l’intéressée présentait des séquelles de fracture-luxation du coude droit (T92.1), des omalgies droites chroniques (Z98.8 et M75.1) et des cervicalgies récidivantes (M50.1) ayant entraîné une discarthrose étagée et une hernie discale C5-C6. Dans la mesure où il n’existait pas de syndrome cervical douloureux et que l’épaule droite avait retrouvé une mobilité active complète, une capacité de travail de 90% (100% avec baisse de rendement de 10%) a été retenue dans une activité adaptée épargnant le dos et le membre supérieur droit (cf. examen clinique du 28 mai 2019 du Dr E _________ ; pièce OAI 161). Depuis la suppression de sa rente d’invalidité, la recourante a subi une entorse de grade 1 au genou gauche, avec déchirure complète de la plastie du LCA, nécessitant une opération le 14 octobre 2020 (pièce OAI 256, pp. 2513 et 2525). En mars 2022, en raison de plaintes douloureuses, une IRM a été réalisée et a mis en évidence différentes atteintes au niveau de son épaule droite (pièce OAI 260, p. 2706). Une IRM lombaire du 27 janvier 2022 avait également objectivé des discarthroses (pièce OAI 186). En présence d’un éventuel motif de révision au sens de l’article 17 LPGA, l’intimé est entré en matière sur la nouvelle demande de prestations du 22 juin 2022.</w:t>
      </w:r>
    </w:p>
    <w:p>
      <w:r>
        <w:rPr>
          <w:b/>
        </w:rPr>
        <w:t>E. 3.2</w:t>
      </w:r>
    </w:p>
    <w:p>
      <w:r>
        <w:t>Dans le cadre de cette nouvelle demande, la recourante soutient que ses troubles au niveau de l’épaule droite et du dos s’étaient aggravés et l’empêchaient de travailler plus de quelques heures par jour.</w:t>
      </w:r>
    </w:p>
    <w:p>
      <w:r>
        <w:rPr>
          <w:b/>
        </w:rPr>
        <w:t>E. 3.2.1</w:t>
      </w:r>
    </w:p>
    <w:p>
      <w:r>
        <w:t>Au niveau lombaire, une IRM du 27 janvier 2022 a mis en évidence une discarthrose protrusive L4-L5 et une discarthrose avec une hernie discale médio- bilatérale L5-S1 allant au contact des racines S1 (cf. pièce OAI 186). Pour cette problématique, évoluant dans le cadre d’un syndrome lombo-vertébral, la recourante a été examinée à deux reprises par la Dresse I _________. Son trouble s’est stabilisé avec la physiothérapie d’équilibrage musculaire mise en place par ce médecin qui a estimé qu’aucune restriction professionnelle ne découlait de la problématique lombaire (pièce OAI 202). Cet avis n’est pas remis en question par une autre pièce du dossier. Le Dr K _________ a ainsi repris son appréciation et n’a pas estimé que l’atteinte lombaire redéfinissait les limitations fonctionnelles. Quant au Dr G _________, il se contente de mentionner que sa patiente souffrait de douleurs lombaires et présentait</w:t>
      </w:r>
    </w:p>
    <w:p>
      <w:r>
        <w:t>- 15 - des limitations du dos, sans aucunement démontrer dans quelle mesure cela l’empêcherait de reprendre le travail à un taux plus élevé que 30% (pièces OAI 199 et 212). Ses avis laconiques des 20 juillet 2022 et 24 avril 2023 sont par conséquent insuffisamment probants pour remettre en doute l’appréciation convaincante de la Dresse I _________.</w:t>
      </w:r>
    </w:p>
    <w:p>
      <w:r>
        <w:rPr>
          <w:b/>
        </w:rPr>
        <w:t>E. 3.2.2</w:t>
      </w:r>
    </w:p>
    <w:p>
      <w:r>
        <w:t>La problématique au niveau de l’épaule droite a été marquée par une récidive d’omalgies antéro-externes suite à un accident de luge du 19 mars 2022. Une IRM du 23 mars 2022 a ainsi montré une déchirure subtotale du tendon du sus-épineux de l’épaule droite, une enthésopathie, des signes de capsulite et une élévation de la tête humérale avec un conflit sous-acromial (cf. pièce OAI 260, p. 2706). Ce trouble a été pris en charge par le Dr H _________. Le 11 avril 2022, il a observé une mobilité complète et symétrique de l’épaule droite. Au vu du bon fonctionnement de l’épaule, il a effectué une infiltration cortisonée à but antalgique (pièce OAI 260, p. 2716). Lors de son contrôle du 24 juin 2022, il a relevé que des douleurs persistaient malgré une mobilité complète et symétrique, que l’infiltration avait apporté une amélioration temporaire, que les exercices de renforcement musculaires devaient se poursuivre et qu’il ne comptait pas revoir la recourante (pièce OAI 261, p. 2752). Le Dr H _________ a par conséquent attesté un arrêt de travail de 50% du 22 juin 2022 au 31 juillet suivant. A partir du 1er août 2022, il a estimé qu’une reprise complète était attendue, le pronostic étant bon (pièces OAI 201 et 260 [p. 2694]). Pour cette affection également, le Dr G _________ n’a pas démontré que sa patiente était dans l’incapacité de reprendre une activité qui épargnait son membre supérieur droit. Il a d’ailleurs confirmé qu’une reprise était attendue dès le 1er août 2022, conformément à l’avis du Dr H _________ (pièce OAI 260, p. 2712). Dans son rapport du 19 octobre 2022, il n’a pas donné d’indication supplémentaire qui justifierait de maintenir sa patiente en arrêt de travail pour ses douleurs à l’épaule droite et a, au demeurant, renvoyé à l’avis du Dr H _________ (pièce OAI 262, p. 2783). Ces éléments ont ensuite été examinés par le SMR qui a confirmé qu’une activité adaptée, à l’instar d’aide-comptable, pouvait être reprise comme attesté par le Dr H _________. Le Dr K _________ a également relevé que l’avis du Dr G _________ ne reposait sur aucune consultation médicale objective et qu’il convenait de s’en écarter (pièce OAI 215). Cette appréciation du SMR, bien motivée, prend en compte les différents éléments du dossier et l’évolution des troubles de la recourante, de façon à lui reconnaître une pleine valeur probante.</w:t>
      </w:r>
    </w:p>
    <w:p>
      <w:r>
        <w:t>- 16 -</w:t>
      </w:r>
    </w:p>
    <w:p>
      <w:r>
        <w:rPr>
          <w:b/>
        </w:rPr>
        <w:t>E. 3.2.3</w:t>
      </w:r>
    </w:p>
    <w:p>
      <w:r>
        <w:t>En l’absence d’indication contraire convaincante quant à la capacité de travail de la recourante, l’OAI a correctement retenu qu’une activité adaptée pouvait être reprise à 90% (100% avec baisse de rendement de 10%) depuis le 28 mai 2019. Les incapacités de travail entraînées par l’atteinte au genou (du 25 août 2020 au 28 février 2021) et à l’épaule droite (du 19 mars 2022 au 31 juillet suivant) n’ont en outre pas été durables et ne justifiaient dès lors pas des prestations de l’AI. Du reste, la recourante ne saurait en tout cas pas se prévaloir d’une égalité dans l’illégalité avec d’autres assurés qui, selon elle, toucheraient indûment des prestations malgré leur capacité de travail. Par conséquent, le taux d’invalidité retenu à 10% n’est pas critiquable. Il s’ensuit que le recours du 30 novembre 2023, mal fondé, est rejeté et que la décision du 15 novembre 2023 est confirmée.</w:t>
      </w:r>
    </w:p>
    <w:p>
      <w:r>
        <w:rPr>
          <w:b/>
        </w:rPr>
        <w:t>E. 4</w:t>
      </w:r>
    </w:p>
    <w:p>
      <w:r>
        <w:t>Les frais de justice, arrêtés à 500 francs, fixés selon les principes de la couverture des coûts et de l’équivalence des prestations, sont mis à la charge de la recourante qui succombe (art. 61 let. fbis LPGA et art. 69 al. 1bis LAI), le montant étant compensé par l’avance de frais, d’un montant équivalent, déjà versée.</w:t>
      </w:r>
    </w:p>
    <w:p>
      <w:r>
        <w:rPr>
          <w:b/>
        </w:rPr>
        <w:t>E. 5</w:t>
      </w:r>
    </w:p>
    <w:p>
      <w:r>
        <w:t>La recourante n’ayant pas gain de cause, il ne lui est pas alloué de dépens (art. 61 let. g LPGA a contrario), ni d’ailleurs à l’office intimé (art. 91 al. 3 LPJA).</w:t>
      </w:r>
    </w:p>
    <w:p>
      <w:r>
        <w:t>Prononce</w:t>
      </w:r>
    </w:p>
    <w:p>
      <w:r>
        <w:t>1. Le recours est rejeté. 2. Les frais, par 500 francs, sont mis à la charge de X _________. 3. Il n’est pas alloué de dépens.</w:t>
      </w:r>
    </w:p>
    <w:p>
      <w:r>
        <w:t>Sion, le 20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